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6A4FF0">
      <w:pPr>
        <w:pStyle w:val="4"/>
        <w:keepNext w:val="0"/>
        <w:keepLines w:val="0"/>
        <w:pageBreakBefore w:val="0"/>
        <w:widowControl w:val="0"/>
        <w:spacing w:line="240" w:lineRule="auto"/>
        <w:jc w:val="center"/>
        <w:rPr>
          <w:rFonts w:hint="eastAsia" w:eastAsia="黑体" w:cs="Courier New"/>
          <w:bCs/>
          <w:color w:val="000000"/>
          <w:sz w:val="44"/>
          <w:szCs w:val="21"/>
          <w:highlight w:val="none"/>
        </w:rPr>
      </w:pPr>
      <w:r>
        <w:rPr>
          <w:rFonts w:hint="eastAsia" w:eastAsia="黑体" w:cs="Courier New"/>
          <w:bCs/>
          <w:color w:val="000000"/>
          <w:sz w:val="44"/>
          <w:szCs w:val="21"/>
          <w:highlight w:val="none"/>
        </w:rPr>
        <w:t>第四章 采购需求</w:t>
      </w:r>
    </w:p>
    <w:p w14:paraId="1DBD96B2">
      <w:pPr>
        <w:keepNext w:val="0"/>
        <w:keepLines w:val="0"/>
        <w:pageBreakBefore w:val="0"/>
        <w:widowControl w:val="0"/>
        <w:spacing w:line="560" w:lineRule="exact"/>
        <w:ind w:firstLine="48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项目属性：</w:t>
      </w:r>
      <w:r>
        <w:rPr>
          <w:rFonts w:hint="eastAsia" w:ascii="宋体" w:hAnsi="宋体" w:eastAsia="宋体" w:cs="宋体"/>
          <w:color w:val="000000"/>
          <w:sz w:val="24"/>
          <w:szCs w:val="24"/>
          <w:highlight w:val="none"/>
          <w:u w:val="none"/>
          <w:lang w:val="en-US" w:eastAsia="zh-CN"/>
        </w:rPr>
        <w:t>服务</w:t>
      </w:r>
      <w:r>
        <w:rPr>
          <w:rFonts w:hint="eastAsia" w:ascii="宋体" w:hAnsi="宋体" w:eastAsia="宋体" w:cs="宋体"/>
          <w:color w:val="000000"/>
          <w:sz w:val="24"/>
          <w:szCs w:val="24"/>
          <w:highlight w:val="none"/>
          <w:u w:val="none"/>
        </w:rPr>
        <w:t>类项目</w:t>
      </w:r>
    </w:p>
    <w:p w14:paraId="197AEB68">
      <w:pPr>
        <w:keepNext w:val="0"/>
        <w:keepLines w:val="0"/>
        <w:pageBreakBefore w:val="0"/>
        <w:widowControl w:val="0"/>
        <w:spacing w:line="560" w:lineRule="exact"/>
        <w:ind w:firstLine="480"/>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本项目采购标的对应的中小企业划分标准所属行业：</w:t>
      </w:r>
      <w:r>
        <w:rPr>
          <w:rFonts w:hint="eastAsia" w:ascii="宋体" w:hAnsi="宋体" w:eastAsia="宋体" w:cs="宋体"/>
          <w:color w:val="000000"/>
          <w:sz w:val="24"/>
          <w:szCs w:val="24"/>
          <w:highlight w:val="none"/>
          <w:u w:val="single"/>
        </w:rPr>
        <w:t>其他未列明行业</w:t>
      </w:r>
    </w:p>
    <w:p w14:paraId="75764296">
      <w:pPr>
        <w:keepNext w:val="0"/>
        <w:keepLines w:val="0"/>
        <w:pageBreakBefore w:val="0"/>
        <w:widowControl w:val="0"/>
        <w:spacing w:line="560" w:lineRule="exact"/>
        <w:ind w:firstLine="48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本项目</w:t>
      </w:r>
      <w:r>
        <w:rPr>
          <w:rFonts w:hint="eastAsia" w:ascii="宋体" w:hAnsi="宋体" w:eastAsia="宋体" w:cs="宋体"/>
          <w:color w:val="000000"/>
          <w:sz w:val="24"/>
          <w:szCs w:val="24"/>
          <w:highlight w:val="none"/>
          <w:u w:val="single"/>
        </w:rPr>
        <w:t>不接受</w:t>
      </w:r>
      <w:r>
        <w:rPr>
          <w:rFonts w:hint="eastAsia" w:ascii="宋体" w:hAnsi="宋体" w:eastAsia="宋体" w:cs="宋体"/>
          <w:color w:val="000000"/>
          <w:sz w:val="24"/>
          <w:szCs w:val="24"/>
          <w:highlight w:val="none"/>
        </w:rPr>
        <w:t>（接受/不接受）进口产品。</w:t>
      </w:r>
    </w:p>
    <w:p w14:paraId="44068673">
      <w:pPr>
        <w:tabs>
          <w:tab w:val="left" w:pos="4680"/>
        </w:tabs>
        <w:spacing w:line="360" w:lineRule="auto"/>
        <w:ind w:firstLine="482" w:firstLineChars="200"/>
        <w:rPr>
          <w:rFonts w:hint="eastAsia" w:ascii="宋体" w:hAnsi="宋体" w:eastAsia="宋体" w:cs="宋体"/>
          <w:b/>
          <w:color w:val="000000"/>
          <w:sz w:val="24"/>
          <w:szCs w:val="24"/>
          <w:highlight w:val="none"/>
          <w:lang w:val="en-US" w:eastAsia="zh-CN" w:bidi="ar-SA"/>
        </w:rPr>
      </w:pPr>
      <w:r>
        <w:rPr>
          <w:rFonts w:hint="eastAsia" w:ascii="宋体" w:hAnsi="宋体" w:eastAsia="宋体" w:cs="宋体"/>
          <w:b/>
          <w:color w:val="000000"/>
          <w:sz w:val="24"/>
          <w:szCs w:val="24"/>
          <w:highlight w:val="none"/>
          <w:lang w:val="en-US" w:eastAsia="zh-CN" w:bidi="ar-SA"/>
        </w:rPr>
        <w:t>一、项目</w:t>
      </w:r>
      <w:r>
        <w:rPr>
          <w:rFonts w:hint="eastAsia" w:ascii="宋体" w:hAnsi="宋体" w:cs="宋体"/>
          <w:b/>
          <w:color w:val="000000"/>
          <w:sz w:val="24"/>
          <w:szCs w:val="24"/>
          <w:highlight w:val="none"/>
          <w:lang w:val="en-US" w:eastAsia="zh-CN" w:bidi="ar-SA"/>
        </w:rPr>
        <w:t>简介</w:t>
      </w:r>
    </w:p>
    <w:p w14:paraId="7B60969C">
      <w:pPr>
        <w:pStyle w:val="6"/>
        <w:keepNext w:val="0"/>
        <w:keepLines w:val="0"/>
        <w:pageBreakBefore w:val="0"/>
        <w:widowControl w:val="0"/>
        <w:numPr>
          <w:ilvl w:val="0"/>
          <w:numId w:val="1"/>
        </w:numPr>
        <w:kinsoku/>
        <w:wordWrap/>
        <w:overflowPunct/>
        <w:topLinePunct w:val="0"/>
        <w:autoSpaceDE/>
        <w:autoSpaceDN/>
        <w:bidi w:val="0"/>
        <w:adjustRightInd/>
        <w:snapToGrid/>
        <w:spacing w:line="360" w:lineRule="auto"/>
        <w:ind w:left="-270" w:leftChars="0" w:firstLine="480" w:firstLineChars="0"/>
        <w:textAlignment w:val="auto"/>
        <w:rPr>
          <w:rFonts w:hint="eastAsia"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项目名称：宿城区详细规划动态维护项目</w:t>
      </w:r>
      <w:r>
        <w:rPr>
          <w:rFonts w:hint="eastAsia" w:ascii="宋体" w:hAnsi="宋体" w:cs="宋体"/>
          <w:color w:val="000000"/>
          <w:sz w:val="24"/>
          <w:szCs w:val="24"/>
          <w:highlight w:val="none"/>
          <w:lang w:val="en-US" w:eastAsia="zh-CN" w:bidi="ar-SA"/>
        </w:rPr>
        <w:t>；本次详细规划动态维护工作研究范围为宿城新区、两河片区、支口片区城镇开发边界范围内约17平方公里。</w:t>
      </w:r>
    </w:p>
    <w:p w14:paraId="5DA1F0E2">
      <w:pPr>
        <w:keepNext w:val="0"/>
        <w:keepLines w:val="0"/>
        <w:pageBreakBefore w:val="0"/>
        <w:widowControl w:val="0"/>
        <w:numPr>
          <w:ilvl w:val="0"/>
          <w:numId w:val="0"/>
        </w:numPr>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line="360" w:lineRule="auto"/>
        <w:ind w:right="0" w:firstLine="480"/>
        <w:jc w:val="both"/>
        <w:textAlignment w:val="auto"/>
        <w:rPr>
          <w:rFonts w:hint="eastAsia"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（二）预算金额：80万元，</w:t>
      </w:r>
    </w:p>
    <w:p w14:paraId="280B4A9A">
      <w:pPr>
        <w:pStyle w:val="6"/>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（四）合同履行期限：12个月，自合同签订之日起。</w:t>
      </w:r>
    </w:p>
    <w:p w14:paraId="3B163B3F">
      <w:pPr>
        <w:pStyle w:val="6"/>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default"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（五）质量要求：</w:t>
      </w:r>
      <w:r>
        <w:rPr>
          <w:rFonts w:hint="eastAsia" w:ascii="宋体" w:hAnsi="宋体" w:cs="宋体"/>
          <w:color w:val="000000"/>
          <w:sz w:val="24"/>
          <w:szCs w:val="24"/>
          <w:highlight w:val="none"/>
          <w:lang w:val="en-US" w:eastAsia="zh-CN" w:bidi="ar-SA"/>
        </w:rPr>
        <w:t>合格</w:t>
      </w:r>
    </w:p>
    <w:p w14:paraId="74CB8787">
      <w:pPr>
        <w:pStyle w:val="6"/>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（五）付款方式：</w:t>
      </w:r>
      <w:r>
        <w:rPr>
          <w:rFonts w:hint="eastAsia" w:ascii="宋体" w:hAnsi="宋体" w:cs="宋体"/>
          <w:color w:val="000000"/>
          <w:sz w:val="24"/>
          <w:szCs w:val="24"/>
          <w:highlight w:val="none"/>
          <w:lang w:val="en-US" w:eastAsia="zh-CN" w:bidi="ar-SA"/>
        </w:rPr>
        <w:t>（</w:t>
      </w:r>
      <w:r>
        <w:rPr>
          <w:rFonts w:hint="eastAsia" w:ascii="宋体" w:hAnsi="宋体" w:eastAsia="宋体" w:cs="宋体"/>
          <w:color w:val="000000"/>
          <w:sz w:val="24"/>
          <w:szCs w:val="24"/>
          <w:highlight w:val="none"/>
          <w:lang w:val="en-US" w:eastAsia="zh-CN" w:bidi="ar-SA"/>
        </w:rPr>
        <w:t>1）合同签订且在收到供应商发票后15日内，支付合同价款的20%作为预付款；</w:t>
      </w:r>
    </w:p>
    <w:p w14:paraId="2EDCD42F">
      <w:pPr>
        <w:pStyle w:val="6"/>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（2）详细规划动态维护周期达半年期，委托人向设计人拨付第二笔规划设计费用，第二笔费用占总设计费用的40%；（按半年期动态维护实际工作量，以调整街区图则面积为计费单位据实进行第二笔款项支付）</w:t>
      </w:r>
    </w:p>
    <w:p w14:paraId="1BD8AE5C">
      <w:pPr>
        <w:pStyle w:val="6"/>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3）详细规划动态维护期满一年且详细规划动态维护成果经委托人验收合格后十日内，委托人向设计人拨付第三笔规划设计费用，第三笔设计费用占总设计费用的40%。（按全年期动态维护实际工作量，以调整街区图则面积为计费单位据实进行第三笔款项支付）</w:t>
      </w:r>
    </w:p>
    <w:p w14:paraId="2B1251F5">
      <w:pPr>
        <w:pStyle w:val="6"/>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注：1、在签订合同时，</w:t>
      </w:r>
      <w:r>
        <w:rPr>
          <w:rFonts w:hint="eastAsia" w:ascii="宋体" w:hAnsi="宋体" w:cs="宋体"/>
          <w:color w:val="000000"/>
          <w:sz w:val="24"/>
          <w:szCs w:val="24"/>
          <w:highlight w:val="none"/>
          <w:lang w:val="en-US" w:eastAsia="zh-CN" w:bidi="ar-SA"/>
        </w:rPr>
        <w:t>成交</w:t>
      </w:r>
      <w:r>
        <w:rPr>
          <w:rFonts w:hint="eastAsia" w:ascii="宋体" w:hAnsi="宋体" w:eastAsia="宋体" w:cs="宋体"/>
          <w:color w:val="000000"/>
          <w:sz w:val="24"/>
          <w:szCs w:val="24"/>
          <w:highlight w:val="none"/>
          <w:lang w:val="en-US" w:eastAsia="zh-CN" w:bidi="ar-SA"/>
        </w:rPr>
        <w:t>人明确表示无需预付款或者主动要求降低预付款比例的，采购人可不适用前述规定。</w:t>
      </w:r>
    </w:p>
    <w:p w14:paraId="3F5C68FD">
      <w:pPr>
        <w:pStyle w:val="6"/>
        <w:keepNext w:val="0"/>
        <w:keepLines w:val="0"/>
        <w:pageBreakBefore w:val="0"/>
        <w:widowControl w:val="0"/>
        <w:kinsoku/>
        <w:wordWrap/>
        <w:overflowPunct/>
        <w:topLinePunct w:val="0"/>
        <w:autoSpaceDE/>
        <w:autoSpaceDN/>
        <w:bidi w:val="0"/>
        <w:adjustRightInd/>
        <w:snapToGrid/>
        <w:spacing w:line="360" w:lineRule="auto"/>
        <w:ind w:firstLine="787" w:firstLineChars="328"/>
        <w:textAlignment w:val="auto"/>
        <w:rPr>
          <w:rFonts w:hint="eastAsia" w:ascii="宋体" w:hAnsi="宋体" w:eastAsia="宋体" w:cs="宋体"/>
          <w:color w:val="000000"/>
          <w:sz w:val="24"/>
          <w:szCs w:val="24"/>
          <w:highlight w:val="none"/>
          <w:lang w:val="en-US" w:eastAsia="zh-CN" w:bidi="ar-SA"/>
        </w:rPr>
      </w:pPr>
      <w:r>
        <w:rPr>
          <w:rFonts w:hint="eastAsia" w:ascii="宋体" w:hAnsi="宋体" w:cs="宋体"/>
          <w:color w:val="000000"/>
          <w:sz w:val="24"/>
          <w:szCs w:val="24"/>
          <w:highlight w:val="none"/>
          <w:lang w:val="en-US" w:eastAsia="zh-CN" w:bidi="ar-SA"/>
        </w:rPr>
        <w:t>2、</w:t>
      </w:r>
      <w:r>
        <w:rPr>
          <w:rFonts w:hint="eastAsia" w:ascii="宋体" w:hAnsi="宋体" w:eastAsia="宋体" w:cs="宋体"/>
          <w:color w:val="000000"/>
          <w:sz w:val="24"/>
          <w:szCs w:val="24"/>
          <w:highlight w:val="none"/>
          <w:lang w:val="en-US" w:eastAsia="zh-CN" w:bidi="ar-SA"/>
        </w:rPr>
        <w:t>资金支付的条件：满足相应阶段的要求且收到供应商发票。</w:t>
      </w:r>
    </w:p>
    <w:p w14:paraId="4E41EA43">
      <w:pPr>
        <w:pStyle w:val="6"/>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cs="宋体"/>
          <w:b/>
          <w:bCs/>
          <w:color w:val="000000"/>
          <w:sz w:val="24"/>
          <w:szCs w:val="24"/>
          <w:highlight w:val="none"/>
          <w:lang w:val="en-US" w:eastAsia="zh-CN" w:bidi="ar-SA"/>
        </w:rPr>
      </w:pPr>
      <w:r>
        <w:rPr>
          <w:rFonts w:hint="eastAsia" w:ascii="宋体" w:hAnsi="宋体" w:cs="宋体"/>
          <w:b/>
          <w:bCs/>
          <w:color w:val="000000"/>
          <w:sz w:val="24"/>
          <w:szCs w:val="24"/>
          <w:highlight w:val="none"/>
          <w:lang w:val="en-US" w:eastAsia="zh-CN" w:bidi="ar-SA"/>
        </w:rPr>
        <w:t>二、项目概况</w:t>
      </w:r>
    </w:p>
    <w:p w14:paraId="450CD615">
      <w:pPr>
        <w:pStyle w:val="6"/>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default" w:ascii="宋体" w:hAnsi="宋体" w:cs="宋体"/>
          <w:color w:val="000000"/>
          <w:sz w:val="24"/>
          <w:szCs w:val="24"/>
          <w:highlight w:val="none"/>
          <w:lang w:val="en-US" w:eastAsia="zh-CN" w:bidi="ar-SA"/>
        </w:rPr>
      </w:pPr>
      <w:r>
        <w:rPr>
          <w:rFonts w:hint="default" w:ascii="宋体" w:hAnsi="宋体" w:cs="宋体"/>
          <w:color w:val="000000"/>
          <w:sz w:val="24"/>
          <w:szCs w:val="24"/>
          <w:highlight w:val="none"/>
          <w:lang w:val="en-US" w:eastAsia="zh-CN" w:bidi="ar-SA"/>
        </w:rPr>
        <w:t>《中共中央国务院关于建立国土空间规划体系并监督实施的若干意见》提出国土空间规划体系的“四梁八柱”，可概括为“五级三类四体系”的构架。《中共江苏省委 江苏省人民政府关于建立全省国土空间规划体系并监督实施的意见》明确我省市、县国土空间规划体系包括国土空间总体规划、详细规划和相关专项规划。随着我市国土空间详细规划相继完成编制，为规范宿迁市宿城区详细规划修改与完善，增强详细规划的科学性和时效性，加强详细规划的管理，提供实时更新和动态维护的服务保障，规范详细规划编制成果数据，真正实现“规划一张图”的管理目标。结合宿迁市宿城区实际情况，对其进行系统的控规编制动态维护工作。</w:t>
      </w:r>
    </w:p>
    <w:p w14:paraId="3273CC39">
      <w:pPr>
        <w:keepNext w:val="0"/>
        <w:keepLines w:val="0"/>
        <w:pageBreakBefore w:val="0"/>
        <w:widowControl w:val="0"/>
        <w:tabs>
          <w:tab w:val="left" w:pos="4680"/>
        </w:tabs>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color w:val="000000"/>
          <w:sz w:val="24"/>
          <w:szCs w:val="24"/>
          <w:highlight w:val="none"/>
          <w:lang w:val="en-US" w:eastAsia="zh-CN" w:bidi="ar-SA"/>
        </w:rPr>
      </w:pPr>
      <w:r>
        <w:rPr>
          <w:rFonts w:hint="eastAsia" w:ascii="宋体" w:hAnsi="宋体" w:cs="宋体"/>
          <w:b/>
          <w:color w:val="000000"/>
          <w:sz w:val="24"/>
          <w:szCs w:val="24"/>
          <w:highlight w:val="none"/>
          <w:lang w:val="en-US" w:eastAsia="zh-CN" w:bidi="ar-SA"/>
        </w:rPr>
        <w:t>三</w:t>
      </w:r>
      <w:r>
        <w:rPr>
          <w:rFonts w:hint="eastAsia" w:ascii="宋体" w:hAnsi="宋体" w:eastAsia="宋体" w:cs="宋体"/>
          <w:b/>
          <w:color w:val="000000"/>
          <w:sz w:val="24"/>
          <w:szCs w:val="24"/>
          <w:highlight w:val="none"/>
          <w:lang w:val="en-US" w:eastAsia="zh-CN" w:bidi="ar-SA"/>
        </w:rPr>
        <w:t>、服务内容</w:t>
      </w:r>
    </w:p>
    <w:p w14:paraId="38269F94">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本次规划服务内容为详细规划（含技术深化）动态维护及相关数据入库。</w:t>
      </w:r>
    </w:p>
    <w:p w14:paraId="2071E0E3">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1、详细规划动态维护</w:t>
      </w:r>
    </w:p>
    <w:p w14:paraId="0945AF93">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对详细规划进行动态维护应按照申请及受理、编制可行性研究报告及方案、审查及征求意见、审批及公布四道程序进行维护。阐明调整原因，分析现状用地属性、交通组织、人口规模、设施配套等方面，明确调整后的土地指标、容积率、建筑密度等核心控制内容。在维护过程中对编制单元、图则管理单元同步进行分类控制与引导。</w:t>
      </w:r>
    </w:p>
    <w:p w14:paraId="45F40379">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分析详细规划调整原因以及其必要性，例如：因国家规范或相关政策变化，对详细规划区域的功能与布局产生重大影响的、国家和省重点建设项目对详细规划区域的功能与用地布局产生较大影响的、因城市建设需要和建设项目的实施情况变化，需要对规划控制要求进行局部调整等情况。从调整背景、社会经济和人民需求等方面进行较为全面的分析，论证拟调整的必要性。</w:t>
      </w:r>
    </w:p>
    <w:p w14:paraId="3E5E3708">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明确调整内容、分析周边现状的土地利用、人口规模、道路交通、设施配套等情况，明确相关规划对调整的强制性内容，针对人口、用地性质、控制基本指标、各类公共管理与公共服务设施、道路交通、市政设施等涉及方面进行调整可行性分析，提出结论性意见。能以相关规范和相关规划为依据，可行性分析角度较为全面，论证得出规划调整是否有可行性。</w:t>
      </w:r>
    </w:p>
    <w:p w14:paraId="25397080">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2、详细规划数据入库</w:t>
      </w:r>
    </w:p>
    <w:p w14:paraId="72F4F0BB">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结合《宿迁市国土空间总体规划 (2021-2035年)》等相关上位规划，对调整地块及周边现状的 土地利用、人口规模、道路交通、设施配套、城市景观等相关影 响因素进行系统研究，科学确定用地指标，有序引导项目开发建设。同时对详细规划数据库进行更新维护。</w:t>
      </w:r>
    </w:p>
    <w:p w14:paraId="692A4C81">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000000"/>
          <w:sz w:val="24"/>
          <w:szCs w:val="24"/>
          <w:highlight w:val="none"/>
          <w:lang w:val="zh-CN"/>
        </w:rPr>
      </w:pPr>
      <w:r>
        <w:rPr>
          <w:rFonts w:hint="eastAsia" w:ascii="宋体" w:hAnsi="宋体" w:cs="宋体"/>
          <w:color w:val="000000"/>
          <w:sz w:val="24"/>
          <w:szCs w:val="24"/>
          <w:highlight w:val="none"/>
          <w:lang w:val="en-US" w:eastAsia="zh-CN"/>
        </w:rPr>
        <w:t>针对</w:t>
      </w:r>
      <w:r>
        <w:rPr>
          <w:rFonts w:hint="eastAsia" w:ascii="宋体" w:hAnsi="宋体" w:eastAsia="宋体" w:cs="宋体"/>
          <w:color w:val="000000"/>
          <w:sz w:val="24"/>
          <w:szCs w:val="24"/>
          <w:highlight w:val="none"/>
          <w:lang w:val="zh-CN"/>
        </w:rPr>
        <w:t>规划动态调整以及其他需动态更新情况，进行数据入库。入库数据应符合省、市相关数据库规定，满足管理使用需求。</w:t>
      </w:r>
    </w:p>
    <w:p w14:paraId="253CB627">
      <w:pPr>
        <w:keepNext w:val="0"/>
        <w:keepLines w:val="0"/>
        <w:pageBreakBefore w:val="0"/>
        <w:widowControl w:val="0"/>
        <w:tabs>
          <w:tab w:val="left" w:pos="4680"/>
        </w:tabs>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color w:val="000000"/>
          <w:sz w:val="24"/>
          <w:szCs w:val="24"/>
          <w:highlight w:val="none"/>
          <w:lang w:val="en-US" w:eastAsia="zh-CN" w:bidi="ar-SA"/>
        </w:rPr>
      </w:pPr>
      <w:r>
        <w:rPr>
          <w:rFonts w:hint="eastAsia" w:ascii="宋体" w:hAnsi="宋体" w:cs="宋体"/>
          <w:b/>
          <w:color w:val="000000"/>
          <w:sz w:val="24"/>
          <w:szCs w:val="24"/>
          <w:highlight w:val="none"/>
          <w:lang w:val="en-US" w:eastAsia="zh-CN" w:bidi="ar-SA"/>
        </w:rPr>
        <w:t>四</w:t>
      </w:r>
      <w:r>
        <w:rPr>
          <w:rFonts w:hint="eastAsia" w:ascii="宋体" w:hAnsi="宋体" w:eastAsia="宋体" w:cs="宋体"/>
          <w:b/>
          <w:color w:val="000000"/>
          <w:sz w:val="24"/>
          <w:szCs w:val="24"/>
          <w:highlight w:val="none"/>
          <w:lang w:val="en-US" w:eastAsia="zh-CN" w:bidi="ar-SA"/>
        </w:rPr>
        <w:t>、规划成果</w:t>
      </w:r>
    </w:p>
    <w:p w14:paraId="73C8F710">
      <w:pPr>
        <w:keepNext w:val="0"/>
        <w:keepLines w:val="0"/>
        <w:pageBreakBefore w:val="0"/>
        <w:widowControl w:val="0"/>
        <w:tabs>
          <w:tab w:val="left" w:pos="4680"/>
        </w:tabs>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color w:val="000000"/>
          <w:sz w:val="24"/>
          <w:szCs w:val="24"/>
          <w:highlight w:val="none"/>
          <w:lang w:val="en-US" w:eastAsia="zh-CN" w:bidi="ar-SA"/>
        </w:rPr>
      </w:pPr>
      <w:bookmarkStart w:id="0" w:name="_Toc169085262"/>
      <w:r>
        <w:rPr>
          <w:rFonts w:hint="eastAsia" w:ascii="宋体" w:hAnsi="宋体" w:eastAsia="宋体" w:cs="宋体"/>
          <w:b/>
          <w:color w:val="000000"/>
          <w:sz w:val="24"/>
          <w:szCs w:val="24"/>
          <w:highlight w:val="none"/>
          <w:lang w:val="en-US" w:eastAsia="zh-CN" w:bidi="ar-SA"/>
        </w:rPr>
        <w:t>1、详细规划动态维护</w:t>
      </w:r>
      <w:bookmarkEnd w:id="0"/>
    </w:p>
    <w:p w14:paraId="4DB7CBFC">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规划成果主要包括综合报告、动态更新图件（包括并不限于局部现状图、调整前用地规划图、调整后用地规划图、调整前图则、调整后图则等）。</w:t>
      </w:r>
    </w:p>
    <w:p w14:paraId="11566BC2">
      <w:pPr>
        <w:keepNext w:val="0"/>
        <w:keepLines w:val="0"/>
        <w:pageBreakBefore w:val="0"/>
        <w:widowControl w:val="0"/>
        <w:tabs>
          <w:tab w:val="left" w:pos="4680"/>
        </w:tabs>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color w:val="000000"/>
          <w:sz w:val="24"/>
          <w:szCs w:val="24"/>
          <w:highlight w:val="none"/>
          <w:lang w:val="en-US" w:eastAsia="zh-CN" w:bidi="ar-SA"/>
        </w:rPr>
      </w:pPr>
      <w:bookmarkStart w:id="1" w:name="_Toc169085263"/>
      <w:r>
        <w:rPr>
          <w:rFonts w:hint="eastAsia" w:ascii="宋体" w:hAnsi="宋体" w:eastAsia="宋体" w:cs="宋体"/>
          <w:b/>
          <w:color w:val="000000"/>
          <w:sz w:val="24"/>
          <w:szCs w:val="24"/>
          <w:highlight w:val="none"/>
          <w:lang w:val="en-US" w:eastAsia="zh-CN" w:bidi="ar-SA"/>
        </w:rPr>
        <w:t>2、详细规划数据入库</w:t>
      </w:r>
      <w:bookmarkEnd w:id="1"/>
    </w:p>
    <w:p w14:paraId="75A7ED7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sz w:val="24"/>
          <w:szCs w:val="32"/>
        </w:rPr>
      </w:pPr>
      <w:r>
        <w:rPr>
          <w:rFonts w:hint="eastAsia" w:ascii="宋体" w:hAnsi="宋体" w:eastAsia="宋体" w:cs="宋体"/>
          <w:color w:val="000000"/>
          <w:sz w:val="24"/>
          <w:szCs w:val="24"/>
          <w:highlight w:val="none"/>
          <w:lang w:val="zh-CN"/>
        </w:rPr>
        <w:t>经审查同意并按相关程序获得批复的动态更新方案，按照江苏省自然资源厅发布的《江苏省城镇开发边界内详细规划数据库标准》（试行）要求，同时对接宿迁市详细规划数据库相关规定，进行数据建设。待数据库审核通过后，与详细规划“一张图”维护单位对接，录入宿迁市“一张图”决策平台并调试运行稳定，以保证控规数据的时效性。</w:t>
      </w:r>
    </w:p>
    <w:p w14:paraId="50BA21A4">
      <w:pPr>
        <w:keepNext w:val="0"/>
        <w:keepLines w:val="0"/>
        <w:pageBreakBefore w:val="0"/>
        <w:widowControl w:val="0"/>
        <w:numPr>
          <w:ilvl w:val="0"/>
          <w:numId w:val="2"/>
        </w:numPr>
        <w:tabs>
          <w:tab w:val="left" w:pos="4680"/>
        </w:tabs>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color w:val="000000"/>
          <w:sz w:val="24"/>
          <w:szCs w:val="24"/>
          <w:highlight w:val="none"/>
          <w:lang w:val="zh-CN" w:eastAsia="zh-CN" w:bidi="ar-SA"/>
        </w:rPr>
      </w:pPr>
      <w:r>
        <w:rPr>
          <w:rFonts w:hint="eastAsia" w:ascii="宋体" w:hAnsi="宋体" w:eastAsia="宋体" w:cs="宋体"/>
          <w:b/>
          <w:color w:val="000000"/>
          <w:sz w:val="24"/>
          <w:szCs w:val="24"/>
          <w:highlight w:val="none"/>
          <w:lang w:val="zh-CN" w:eastAsia="zh-CN" w:bidi="ar-SA"/>
        </w:rPr>
        <w:t>编制依据</w:t>
      </w:r>
    </w:p>
    <w:p w14:paraId="533804AE">
      <w:pPr>
        <w:keepNext w:val="0"/>
        <w:keepLines w:val="0"/>
        <w:pageBreakBefore w:val="0"/>
        <w:widowControl w:val="0"/>
        <w:numPr>
          <w:ilvl w:val="0"/>
          <w:numId w:val="0"/>
        </w:numPr>
        <w:tabs>
          <w:tab w:val="left" w:pos="4680"/>
        </w:tabs>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b w:val="0"/>
          <w:bCs/>
          <w:color w:val="000000"/>
          <w:sz w:val="24"/>
          <w:szCs w:val="24"/>
          <w:highlight w:val="none"/>
          <w:lang w:val="zh-CN" w:eastAsia="zh-CN" w:bidi="ar-SA"/>
        </w:rPr>
      </w:pPr>
      <w:r>
        <w:rPr>
          <w:rFonts w:hint="eastAsia" w:ascii="宋体" w:hAnsi="宋体" w:eastAsia="宋体" w:cs="宋体"/>
          <w:b w:val="0"/>
          <w:bCs/>
          <w:color w:val="000000"/>
          <w:sz w:val="24"/>
          <w:szCs w:val="24"/>
          <w:highlight w:val="none"/>
          <w:lang w:val="zh-CN" w:eastAsia="zh-CN" w:bidi="ar-SA"/>
        </w:rPr>
        <w:t>1、《中华人民共和国城乡规划法》（2019年修正）；</w:t>
      </w:r>
    </w:p>
    <w:p w14:paraId="788553E6">
      <w:pPr>
        <w:keepNext w:val="0"/>
        <w:keepLines w:val="0"/>
        <w:pageBreakBefore w:val="0"/>
        <w:widowControl w:val="0"/>
        <w:numPr>
          <w:ilvl w:val="0"/>
          <w:numId w:val="0"/>
        </w:numPr>
        <w:tabs>
          <w:tab w:val="left" w:pos="4680"/>
        </w:tabs>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b w:val="0"/>
          <w:bCs/>
          <w:color w:val="000000"/>
          <w:sz w:val="24"/>
          <w:szCs w:val="24"/>
          <w:highlight w:val="none"/>
          <w:lang w:val="zh-CN" w:eastAsia="zh-CN" w:bidi="ar-SA"/>
        </w:rPr>
      </w:pPr>
      <w:r>
        <w:rPr>
          <w:rFonts w:hint="eastAsia" w:ascii="宋体" w:hAnsi="宋体" w:eastAsia="宋体" w:cs="宋体"/>
          <w:b w:val="0"/>
          <w:bCs/>
          <w:color w:val="000000"/>
          <w:sz w:val="24"/>
          <w:szCs w:val="24"/>
          <w:highlight w:val="none"/>
          <w:lang w:val="zh-CN" w:eastAsia="zh-CN" w:bidi="ar-SA"/>
        </w:rPr>
        <w:t>2、《中华人民共和国土地管理法》（2019年修正）；</w:t>
      </w:r>
    </w:p>
    <w:p w14:paraId="243E769A">
      <w:pPr>
        <w:keepNext w:val="0"/>
        <w:keepLines w:val="0"/>
        <w:pageBreakBefore w:val="0"/>
        <w:widowControl w:val="0"/>
        <w:numPr>
          <w:ilvl w:val="0"/>
          <w:numId w:val="0"/>
        </w:numPr>
        <w:tabs>
          <w:tab w:val="left" w:pos="4680"/>
        </w:tabs>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b w:val="0"/>
          <w:bCs/>
          <w:color w:val="000000"/>
          <w:sz w:val="24"/>
          <w:szCs w:val="24"/>
          <w:highlight w:val="none"/>
          <w:lang w:val="zh-CN" w:eastAsia="zh-CN" w:bidi="ar-SA"/>
        </w:rPr>
      </w:pPr>
      <w:r>
        <w:rPr>
          <w:rFonts w:hint="eastAsia" w:ascii="宋体" w:hAnsi="宋体" w:eastAsia="宋体" w:cs="宋体"/>
          <w:b w:val="0"/>
          <w:bCs/>
          <w:color w:val="000000"/>
          <w:sz w:val="24"/>
          <w:szCs w:val="24"/>
          <w:highlight w:val="none"/>
          <w:lang w:val="zh-CN" w:eastAsia="zh-CN" w:bidi="ar-SA"/>
        </w:rPr>
        <w:t>3、《中华人民共和国环境保护法》（2014年修订）；</w:t>
      </w:r>
    </w:p>
    <w:p w14:paraId="6306B4E5">
      <w:pPr>
        <w:keepNext w:val="0"/>
        <w:keepLines w:val="0"/>
        <w:pageBreakBefore w:val="0"/>
        <w:widowControl w:val="0"/>
        <w:numPr>
          <w:ilvl w:val="0"/>
          <w:numId w:val="0"/>
        </w:numPr>
        <w:tabs>
          <w:tab w:val="left" w:pos="4680"/>
        </w:tabs>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b w:val="0"/>
          <w:bCs/>
          <w:color w:val="000000"/>
          <w:sz w:val="24"/>
          <w:szCs w:val="24"/>
          <w:highlight w:val="none"/>
          <w:lang w:val="zh-CN" w:eastAsia="zh-CN" w:bidi="ar-SA"/>
        </w:rPr>
      </w:pPr>
      <w:r>
        <w:rPr>
          <w:rFonts w:hint="eastAsia" w:ascii="宋体" w:hAnsi="宋体" w:eastAsia="宋体" w:cs="宋体"/>
          <w:b w:val="0"/>
          <w:bCs/>
          <w:color w:val="000000"/>
          <w:sz w:val="24"/>
          <w:szCs w:val="24"/>
          <w:highlight w:val="none"/>
          <w:lang w:val="zh-CN" w:eastAsia="zh-CN" w:bidi="ar-SA"/>
        </w:rPr>
        <w:t>4、《国土空间调查、规划、用途管制用地用海分类指南》；</w:t>
      </w:r>
    </w:p>
    <w:p w14:paraId="44E94191">
      <w:pPr>
        <w:keepNext w:val="0"/>
        <w:keepLines w:val="0"/>
        <w:pageBreakBefore w:val="0"/>
        <w:widowControl w:val="0"/>
        <w:numPr>
          <w:ilvl w:val="0"/>
          <w:numId w:val="0"/>
        </w:numPr>
        <w:tabs>
          <w:tab w:val="left" w:pos="4680"/>
        </w:tabs>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b w:val="0"/>
          <w:bCs/>
          <w:color w:val="000000"/>
          <w:sz w:val="24"/>
          <w:szCs w:val="24"/>
          <w:highlight w:val="none"/>
          <w:lang w:val="zh-CN" w:eastAsia="zh-CN" w:bidi="ar-SA"/>
        </w:rPr>
      </w:pPr>
      <w:r>
        <w:rPr>
          <w:rFonts w:hint="eastAsia" w:ascii="宋体" w:hAnsi="宋体" w:eastAsia="宋体" w:cs="宋体"/>
          <w:b w:val="0"/>
          <w:bCs/>
          <w:color w:val="000000"/>
          <w:sz w:val="24"/>
          <w:szCs w:val="24"/>
          <w:highlight w:val="none"/>
          <w:lang w:val="zh-CN" w:eastAsia="zh-CN" w:bidi="ar-SA"/>
        </w:rPr>
        <w:t>5、《城市规划编制办法》（建设部第146 号令）；</w:t>
      </w:r>
    </w:p>
    <w:p w14:paraId="5CBEB977">
      <w:pPr>
        <w:keepNext w:val="0"/>
        <w:keepLines w:val="0"/>
        <w:pageBreakBefore w:val="0"/>
        <w:widowControl w:val="0"/>
        <w:numPr>
          <w:ilvl w:val="0"/>
          <w:numId w:val="0"/>
        </w:numPr>
        <w:tabs>
          <w:tab w:val="left" w:pos="4680"/>
        </w:tabs>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b w:val="0"/>
          <w:bCs/>
          <w:color w:val="000000"/>
          <w:sz w:val="24"/>
          <w:szCs w:val="24"/>
          <w:highlight w:val="none"/>
          <w:lang w:val="zh-CN" w:eastAsia="zh-CN" w:bidi="ar-SA"/>
        </w:rPr>
      </w:pPr>
      <w:r>
        <w:rPr>
          <w:rFonts w:hint="eastAsia" w:ascii="宋体" w:hAnsi="宋体" w:eastAsia="宋体" w:cs="宋体"/>
          <w:b w:val="0"/>
          <w:bCs/>
          <w:color w:val="000000"/>
          <w:sz w:val="24"/>
          <w:szCs w:val="24"/>
          <w:highlight w:val="none"/>
          <w:lang w:val="zh-CN" w:eastAsia="zh-CN" w:bidi="ar-SA"/>
        </w:rPr>
        <w:t>6、《江苏省城乡规划条例》（2019年修正）；</w:t>
      </w:r>
    </w:p>
    <w:p w14:paraId="4A048F25">
      <w:pPr>
        <w:keepNext w:val="0"/>
        <w:keepLines w:val="0"/>
        <w:pageBreakBefore w:val="0"/>
        <w:widowControl w:val="0"/>
        <w:numPr>
          <w:ilvl w:val="0"/>
          <w:numId w:val="0"/>
        </w:numPr>
        <w:tabs>
          <w:tab w:val="left" w:pos="4680"/>
        </w:tabs>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b w:val="0"/>
          <w:bCs/>
          <w:color w:val="000000"/>
          <w:sz w:val="24"/>
          <w:szCs w:val="24"/>
          <w:highlight w:val="none"/>
          <w:lang w:val="zh-CN" w:eastAsia="zh-CN" w:bidi="ar-SA"/>
        </w:rPr>
      </w:pPr>
      <w:r>
        <w:rPr>
          <w:rFonts w:hint="eastAsia" w:ascii="宋体" w:hAnsi="宋体" w:eastAsia="宋体" w:cs="宋体"/>
          <w:b w:val="0"/>
          <w:bCs/>
          <w:color w:val="000000"/>
          <w:sz w:val="24"/>
          <w:szCs w:val="24"/>
          <w:highlight w:val="none"/>
          <w:lang w:val="zh-CN" w:eastAsia="zh-CN" w:bidi="ar-SA"/>
        </w:rPr>
        <w:t>7、《江苏省城镇开发边界内详细规划编制指南（试行）》；</w:t>
      </w:r>
    </w:p>
    <w:p w14:paraId="4797D36D">
      <w:pPr>
        <w:keepNext w:val="0"/>
        <w:keepLines w:val="0"/>
        <w:pageBreakBefore w:val="0"/>
        <w:widowControl w:val="0"/>
        <w:numPr>
          <w:ilvl w:val="0"/>
          <w:numId w:val="0"/>
        </w:numPr>
        <w:tabs>
          <w:tab w:val="left" w:pos="4680"/>
        </w:tabs>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b w:val="0"/>
          <w:bCs/>
          <w:color w:val="000000"/>
          <w:sz w:val="24"/>
          <w:szCs w:val="24"/>
          <w:highlight w:val="none"/>
          <w:lang w:val="zh-CN" w:eastAsia="zh-CN" w:bidi="ar-SA"/>
        </w:rPr>
      </w:pPr>
      <w:r>
        <w:rPr>
          <w:rFonts w:hint="eastAsia" w:ascii="宋体" w:hAnsi="宋体" w:eastAsia="宋体" w:cs="宋体"/>
          <w:b w:val="0"/>
          <w:bCs/>
          <w:color w:val="000000"/>
          <w:sz w:val="24"/>
          <w:szCs w:val="24"/>
          <w:highlight w:val="none"/>
          <w:lang w:val="zh-CN" w:eastAsia="zh-CN" w:bidi="ar-SA"/>
        </w:rPr>
        <w:t>8、《江苏省城市规划管理技术规定》（2011年版）；</w:t>
      </w:r>
    </w:p>
    <w:p w14:paraId="75C1FB06">
      <w:pPr>
        <w:keepNext w:val="0"/>
        <w:keepLines w:val="0"/>
        <w:pageBreakBefore w:val="0"/>
        <w:widowControl w:val="0"/>
        <w:numPr>
          <w:ilvl w:val="0"/>
          <w:numId w:val="0"/>
        </w:numPr>
        <w:tabs>
          <w:tab w:val="left" w:pos="4680"/>
        </w:tabs>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b w:val="0"/>
          <w:bCs/>
          <w:color w:val="000000"/>
          <w:sz w:val="24"/>
          <w:szCs w:val="24"/>
          <w:highlight w:val="none"/>
          <w:lang w:val="zh-CN" w:eastAsia="zh-CN" w:bidi="ar-SA"/>
        </w:rPr>
      </w:pPr>
      <w:r>
        <w:rPr>
          <w:rFonts w:hint="eastAsia" w:ascii="宋体" w:hAnsi="宋体" w:eastAsia="宋体" w:cs="宋体"/>
          <w:b w:val="0"/>
          <w:bCs/>
          <w:color w:val="000000"/>
          <w:sz w:val="24"/>
          <w:szCs w:val="24"/>
          <w:highlight w:val="none"/>
          <w:lang w:val="zh-CN" w:eastAsia="zh-CN" w:bidi="ar-SA"/>
        </w:rPr>
        <w:t>9、《宿迁市国土空间总体规划（2021-2035 年）》；</w:t>
      </w:r>
    </w:p>
    <w:p w14:paraId="69321D77">
      <w:pPr>
        <w:keepNext w:val="0"/>
        <w:keepLines w:val="0"/>
        <w:pageBreakBefore w:val="0"/>
        <w:widowControl w:val="0"/>
        <w:numPr>
          <w:ilvl w:val="0"/>
          <w:numId w:val="0"/>
        </w:numPr>
        <w:tabs>
          <w:tab w:val="left" w:pos="4680"/>
        </w:tabs>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b w:val="0"/>
          <w:bCs/>
          <w:color w:val="000000"/>
          <w:sz w:val="24"/>
          <w:szCs w:val="24"/>
          <w:highlight w:val="none"/>
          <w:lang w:val="zh-CN" w:eastAsia="zh-CN" w:bidi="ar-SA"/>
        </w:rPr>
      </w:pPr>
      <w:r>
        <w:rPr>
          <w:rFonts w:hint="eastAsia" w:ascii="宋体" w:hAnsi="宋体" w:eastAsia="宋体" w:cs="宋体"/>
          <w:b w:val="0"/>
          <w:bCs/>
          <w:color w:val="000000"/>
          <w:sz w:val="24"/>
          <w:szCs w:val="24"/>
          <w:highlight w:val="none"/>
          <w:lang w:val="zh-CN" w:eastAsia="zh-CN" w:bidi="ar-SA"/>
        </w:rPr>
        <w:t>10、《宿迁市国土空间总体规划宿城分区规划（2021-2035年）》（在编）；</w:t>
      </w:r>
    </w:p>
    <w:p w14:paraId="5DD14750">
      <w:pPr>
        <w:keepNext w:val="0"/>
        <w:keepLines w:val="0"/>
        <w:pageBreakBefore w:val="0"/>
        <w:widowControl w:val="0"/>
        <w:numPr>
          <w:ilvl w:val="0"/>
          <w:numId w:val="0"/>
        </w:numPr>
        <w:tabs>
          <w:tab w:val="left" w:pos="4680"/>
        </w:tabs>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b w:val="0"/>
          <w:bCs/>
          <w:color w:val="000000"/>
          <w:sz w:val="24"/>
          <w:szCs w:val="24"/>
          <w:highlight w:val="none"/>
          <w:lang w:val="zh-CN" w:eastAsia="zh-CN" w:bidi="ar-SA"/>
        </w:rPr>
      </w:pPr>
      <w:r>
        <w:rPr>
          <w:rFonts w:hint="eastAsia" w:ascii="宋体" w:hAnsi="宋体" w:eastAsia="宋体" w:cs="宋体"/>
          <w:b w:val="0"/>
          <w:bCs/>
          <w:color w:val="000000"/>
          <w:sz w:val="24"/>
          <w:szCs w:val="24"/>
          <w:highlight w:val="none"/>
          <w:lang w:val="zh-CN" w:eastAsia="zh-CN" w:bidi="ar-SA"/>
        </w:rPr>
        <w:t>11、《宿迁市中心城区十五分钟社区生活圈规划导则（试行）》；</w:t>
      </w:r>
    </w:p>
    <w:p w14:paraId="2D9A7A9D">
      <w:pPr>
        <w:keepNext w:val="0"/>
        <w:keepLines w:val="0"/>
        <w:pageBreakBefore w:val="0"/>
        <w:widowControl w:val="0"/>
        <w:numPr>
          <w:ilvl w:val="0"/>
          <w:numId w:val="0"/>
        </w:numPr>
        <w:tabs>
          <w:tab w:val="left" w:pos="4680"/>
        </w:tabs>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b w:val="0"/>
          <w:bCs/>
          <w:color w:val="000000"/>
          <w:sz w:val="24"/>
          <w:szCs w:val="24"/>
          <w:highlight w:val="none"/>
          <w:lang w:val="zh-CN" w:eastAsia="zh-CN" w:bidi="ar-SA"/>
        </w:rPr>
      </w:pPr>
      <w:r>
        <w:rPr>
          <w:rFonts w:hint="eastAsia" w:ascii="宋体" w:hAnsi="宋体" w:eastAsia="宋体" w:cs="宋体"/>
          <w:b w:val="0"/>
          <w:bCs/>
          <w:color w:val="000000"/>
          <w:sz w:val="24"/>
          <w:szCs w:val="24"/>
          <w:highlight w:val="none"/>
          <w:lang w:val="zh-CN" w:eastAsia="zh-CN" w:bidi="ar-SA"/>
        </w:rPr>
        <w:t>12、《宿迁市城市沿街空间界面管控导则》（试行）；</w:t>
      </w:r>
    </w:p>
    <w:p w14:paraId="02A64052">
      <w:pPr>
        <w:keepNext w:val="0"/>
        <w:keepLines w:val="0"/>
        <w:pageBreakBefore w:val="0"/>
        <w:widowControl w:val="0"/>
        <w:numPr>
          <w:ilvl w:val="0"/>
          <w:numId w:val="0"/>
        </w:numPr>
        <w:tabs>
          <w:tab w:val="left" w:pos="4680"/>
        </w:tabs>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b w:val="0"/>
          <w:bCs/>
          <w:color w:val="000000"/>
          <w:sz w:val="24"/>
          <w:szCs w:val="24"/>
          <w:highlight w:val="none"/>
          <w:lang w:val="zh-CN" w:eastAsia="zh-CN" w:bidi="ar-SA"/>
        </w:rPr>
      </w:pPr>
      <w:r>
        <w:rPr>
          <w:rFonts w:hint="eastAsia" w:ascii="宋体" w:hAnsi="宋体" w:eastAsia="宋体" w:cs="宋体"/>
          <w:b w:val="0"/>
          <w:bCs/>
          <w:color w:val="000000"/>
          <w:sz w:val="24"/>
          <w:szCs w:val="24"/>
          <w:highlight w:val="none"/>
          <w:lang w:val="zh-CN" w:eastAsia="zh-CN" w:bidi="ar-SA"/>
        </w:rPr>
        <w:t>13、其他相关法律法规、技术标准等。</w:t>
      </w:r>
    </w:p>
    <w:p w14:paraId="3FFE71FC">
      <w:pPr>
        <w:keepNext w:val="0"/>
        <w:keepLines w:val="0"/>
        <w:pageBreakBefore w:val="0"/>
        <w:widowControl w:val="0"/>
        <w:tabs>
          <w:tab w:val="left" w:pos="4680"/>
        </w:tabs>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color w:val="000000"/>
          <w:sz w:val="24"/>
          <w:szCs w:val="24"/>
          <w:highlight w:val="none"/>
          <w:lang w:val="zh-CN" w:eastAsia="zh-CN" w:bidi="ar-SA"/>
        </w:rPr>
      </w:pPr>
      <w:r>
        <w:rPr>
          <w:rFonts w:hint="eastAsia" w:ascii="宋体" w:hAnsi="宋体" w:cs="宋体"/>
          <w:b/>
          <w:color w:val="000000"/>
          <w:sz w:val="24"/>
          <w:szCs w:val="24"/>
          <w:highlight w:val="none"/>
          <w:lang w:val="en-US" w:eastAsia="zh-CN" w:bidi="ar-SA"/>
        </w:rPr>
        <w:t>六</w:t>
      </w:r>
      <w:r>
        <w:rPr>
          <w:rFonts w:hint="eastAsia" w:ascii="宋体" w:hAnsi="宋体" w:eastAsia="宋体" w:cs="宋体"/>
          <w:b/>
          <w:color w:val="000000"/>
          <w:sz w:val="24"/>
          <w:szCs w:val="24"/>
          <w:highlight w:val="none"/>
          <w:lang w:val="zh-CN" w:eastAsia="zh-CN" w:bidi="ar-SA"/>
        </w:rPr>
        <w:t>、成果要求</w:t>
      </w:r>
    </w:p>
    <w:p w14:paraId="37144A0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（一）方案文本</w:t>
      </w:r>
      <w:r>
        <w:rPr>
          <w:rFonts w:hint="eastAsia" w:ascii="宋体" w:hAnsi="宋体" w:cs="宋体"/>
          <w:color w:val="000000"/>
          <w:sz w:val="24"/>
          <w:szCs w:val="24"/>
          <w:highlight w:val="none"/>
          <w:lang w:val="zh-CN"/>
        </w:rPr>
        <w:t>：</w:t>
      </w:r>
      <w:r>
        <w:rPr>
          <w:rFonts w:hint="eastAsia" w:ascii="宋体" w:hAnsi="宋体" w:eastAsia="宋体" w:cs="宋体"/>
          <w:color w:val="000000"/>
          <w:sz w:val="24"/>
          <w:szCs w:val="24"/>
          <w:highlight w:val="none"/>
          <w:lang w:val="zh-CN"/>
        </w:rPr>
        <w:t xml:space="preserve">包括编制详细规划局部调整方案，系统分析详细规划调整原因以 及其必要性，明确调整内容等； </w:t>
      </w:r>
    </w:p>
    <w:p w14:paraId="75225C6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（二）图件：方案中涉及的土地利用现状图、土地利用总体规划、城市总体规划、城市详细规划的规划图件（局部）、勘测定界图，成片开发相关规划图件。</w:t>
      </w:r>
    </w:p>
    <w:p w14:paraId="4EDAC83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（四）技术成果和版权归属：中标方受采购人委托完成的方案编制成果文稿版权归采购人。未经采购人允许，中标方不得将技术成果、版权向第三方转让，否则采购人有权追究中标方的责任。</w:t>
      </w:r>
    </w:p>
    <w:p w14:paraId="2327C2B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五）技术情况和资料的保密：未经采购人的许可，中标方不得向其它第三方单位或个人提供或透漏采购人提供的资料和数据，不得自行发布、发表成果；中标方不得将编制成果作为其它商业用途，否则采购人有权追究中标方的责任。</w:t>
      </w:r>
    </w:p>
    <w:p w14:paraId="0B43AF48">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000000"/>
          <w:sz w:val="24"/>
          <w:szCs w:val="24"/>
          <w:highlight w:val="none"/>
          <w:lang w:val="zh-CN"/>
        </w:rPr>
      </w:pPr>
      <w:r>
        <w:rPr>
          <w:rFonts w:hint="eastAsia" w:ascii="宋体" w:hAnsi="宋体" w:cs="宋体"/>
          <w:b/>
          <w:bCs/>
          <w:color w:val="000000"/>
          <w:sz w:val="24"/>
          <w:szCs w:val="24"/>
          <w:highlight w:val="none"/>
          <w:lang w:val="en-US" w:eastAsia="zh-CN"/>
        </w:rPr>
        <w:t>七</w:t>
      </w:r>
      <w:r>
        <w:rPr>
          <w:rFonts w:hint="eastAsia" w:ascii="宋体" w:hAnsi="宋体" w:eastAsia="宋体" w:cs="宋体"/>
          <w:b/>
          <w:bCs/>
          <w:color w:val="000000"/>
          <w:sz w:val="24"/>
          <w:szCs w:val="24"/>
          <w:highlight w:val="none"/>
          <w:lang w:val="zh-CN"/>
        </w:rPr>
        <w:t>、实施要求</w:t>
      </w:r>
    </w:p>
    <w:p w14:paraId="7EB58BF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一）投标人根据项目情况选派具有丰富实践经验和良好沟通、协调能力的项目负责人和项目组成员。在服务期间原则上不得更换项目负责人，特殊情况确需更换的，应事先征得采购人批准，但采购人有权对不能胜任本项目工作的技术人员（含项目负责人）提出更换。</w:t>
      </w:r>
    </w:p>
    <w:p w14:paraId="41FBDA1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（二）投标人根据项目情况及服务要求的内容为基础，编制详细的投标工作方案、服务说明及承诺。</w:t>
      </w:r>
    </w:p>
    <w:p w14:paraId="577955F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1、项目理解：对项目要求（项目背景、项目内容、项目服务要求、项目任务等）的总体理解程度和深度，目标任务明确、思路清晰等内容进行详尽描述。</w:t>
      </w:r>
    </w:p>
    <w:p w14:paraId="382BF9F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2、技术方案：根据本项目特征梳理本项目技术路线，形成完整的技术思路，技术方案（其内容一般包括控规修改论证报告、论证方案、上网GIS 数据等几部分内容），提供必要的资料、报告等方面进行详尽描述。</w:t>
      </w:r>
    </w:p>
    <w:p w14:paraId="7CBE245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3、项目进度安排：根据项目需求分析，对项目进度安排合理性、工序管理措施科学性、工期滞后弥补办法、突发情况应急办法、工期时间长短等内容进行详尽描述。</w:t>
      </w:r>
    </w:p>
    <w:p w14:paraId="0A73EDA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4、项目质量、安全保密措施：根据项目需求分析，从供应商提供的质量、安全、保密等保障措施完整性、合理性；制定明确的成果资料保密措施和安全保障手段等内容进行详尽描述。</w:t>
      </w:r>
    </w:p>
    <w:p w14:paraId="36EE28E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5、服务保证措施：根据项目需求分析，从服务保证体系（问题的响应处理、问题的解决办法），后续服务措施（人员配备培训、服务响应时间及维护能力），对完结后的项目持续跟踪和免费答疑、技术人员对项目成果的回访调查和完善等方面进行详尽描述。</w:t>
      </w:r>
    </w:p>
    <w:p w14:paraId="5E1BBF2F">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000000"/>
          <w:sz w:val="24"/>
          <w:szCs w:val="24"/>
          <w:highlight w:val="none"/>
          <w:lang w:val="zh-CN"/>
        </w:rPr>
      </w:pPr>
      <w:r>
        <w:rPr>
          <w:rFonts w:hint="eastAsia" w:ascii="宋体" w:hAnsi="宋体" w:cs="宋体"/>
          <w:b/>
          <w:bCs/>
          <w:color w:val="000000"/>
          <w:sz w:val="24"/>
          <w:szCs w:val="24"/>
          <w:highlight w:val="none"/>
          <w:lang w:val="en-US" w:eastAsia="zh-CN"/>
        </w:rPr>
        <w:t>八</w:t>
      </w:r>
      <w:r>
        <w:rPr>
          <w:rFonts w:hint="eastAsia" w:ascii="宋体" w:hAnsi="宋体" w:eastAsia="宋体" w:cs="宋体"/>
          <w:b/>
          <w:bCs/>
          <w:color w:val="000000"/>
          <w:sz w:val="24"/>
          <w:szCs w:val="24"/>
          <w:highlight w:val="none"/>
          <w:lang w:val="zh-CN"/>
        </w:rPr>
        <w:t>、验收标准及要求</w:t>
      </w:r>
    </w:p>
    <w:p w14:paraId="4222BA1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1、验收标准：所提供的服务及质量有国家标准的应符合国家标准。无国家标准的应符合行业标准或企业标准，并满足采购文件要求。最终成果须通过相关部门审查。</w:t>
      </w:r>
    </w:p>
    <w:p w14:paraId="13DD358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2、验收要求：服务期结束后3个工作日内依法组织履约验收。甲方根据项目特点进行验收。履约验收程序按甲方要求。甲方以磋商文件、乙方的响应文件、合同为依据，乙方提交最终成果并通过相关部门审查后完成最终验收。最终验收时间以相关部门审查通过时间为准，各项资料存档备查。若因成交人原因造成无法验收通过的，采购人将拒绝付款，并追究成交人的违约责任。</w:t>
      </w:r>
    </w:p>
    <w:p w14:paraId="3047357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3、验收合格的项目，甲方根据采购合同的约定及时向供应商支付合同款项。验收不合格的项目，甲方依法及时处理。采购合同的履行、违约责任和解决争议的方式等适用《民法典》。乙方在履约过程中有政府采购法律法规规定的违法违规情形的，甲方将及时报告本级财政部门。</w:t>
      </w:r>
    </w:p>
    <w:p w14:paraId="255187CD">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000000"/>
          <w:sz w:val="24"/>
          <w:szCs w:val="24"/>
          <w:highlight w:val="none"/>
          <w:lang w:val="zh-CN"/>
        </w:rPr>
      </w:pPr>
      <w:r>
        <w:rPr>
          <w:rFonts w:hint="eastAsia" w:ascii="宋体" w:hAnsi="宋体" w:cs="宋体"/>
          <w:b/>
          <w:bCs/>
          <w:color w:val="000000"/>
          <w:sz w:val="24"/>
          <w:szCs w:val="24"/>
          <w:highlight w:val="none"/>
          <w:lang w:val="en-US" w:eastAsia="zh-CN"/>
        </w:rPr>
        <w:t>九</w:t>
      </w:r>
      <w:r>
        <w:rPr>
          <w:rFonts w:hint="eastAsia" w:ascii="宋体" w:hAnsi="宋体" w:eastAsia="宋体" w:cs="宋体"/>
          <w:b/>
          <w:bCs/>
          <w:color w:val="000000"/>
          <w:sz w:val="24"/>
          <w:szCs w:val="24"/>
          <w:highlight w:val="none"/>
          <w:lang w:val="zh-CN"/>
        </w:rPr>
        <w:t>、其他要求</w:t>
      </w:r>
    </w:p>
    <w:p w14:paraId="7ACFD4E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1、供应商需充分了解现状情况，充分收集相关资料，听取有关部门意见，外地供应商应深入本地开展调研工作。</w:t>
      </w:r>
    </w:p>
    <w:p w14:paraId="1DCDF65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2、供应商须实地勘察现场，根据现场实际情况做出符合采购方要求的整体方案，费用及安全财产责任由供应商自行承担。未踏勘现场的供应商中标后，不得以不完全了解现场情况为理由而向采购单位提出任何索赔或其他要求，对此采购单位不承担任何责任并将不作任何答复。</w:t>
      </w:r>
    </w:p>
    <w:p w14:paraId="36BD72C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3、成交后，项目组人员配备应按响应文件中承诺的实施，不经采购单位同意，不得更换。</w:t>
      </w:r>
    </w:p>
    <w:p w14:paraId="47916FB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4、供应商提供的服务应至少能够达到以上要求，同时明确详细的技术服务方案。</w:t>
      </w:r>
    </w:p>
    <w:p w14:paraId="726A5FDD">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000000"/>
          <w:sz w:val="24"/>
          <w:szCs w:val="24"/>
          <w:highlight w:val="none"/>
          <w:lang w:val="zh-CN"/>
        </w:rPr>
      </w:pPr>
      <w:r>
        <w:rPr>
          <w:rFonts w:hint="eastAsia" w:ascii="宋体" w:hAnsi="宋体" w:eastAsia="宋体" w:cs="宋体"/>
          <w:b/>
          <w:bCs/>
          <w:color w:val="000000"/>
          <w:sz w:val="24"/>
          <w:szCs w:val="24"/>
          <w:highlight w:val="none"/>
          <w:lang w:val="zh-CN"/>
        </w:rPr>
        <w:t>十、采购标的需实现的功能或者目标，以及为落实政府采购政策需满足的要求；</w:t>
      </w:r>
    </w:p>
    <w:p w14:paraId="22395E9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1、采购本国货物、工程和服务</w:t>
      </w:r>
    </w:p>
    <w:p w14:paraId="1B6BDB7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1.1政府采购应当采购本国货物、工程和服务，但有《中华人民共和国政府采购法》第十条规定情形的除外。</w:t>
      </w:r>
    </w:p>
    <w:p w14:paraId="0A2FD2A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1.2如采购进口产品的，应当符合《政府采购进口产品管理办法》(财库(2007)119 号文) 、《关于政府采购进口产品管理有关问题的通知》 (财办库 (2008) 248号文) 等相关规定。</w:t>
      </w:r>
    </w:p>
    <w:p w14:paraId="2041245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2、落实政府采购政策需满足的资格要求：本项目属于专门面向中小企业采购的项目，供应商应为中小微企业、监狱企业、残疾人福利性单位（须提供《中小企业或残疾人福利性单位声明函》）。非中小型企业参与本项目投标，将作无效标处理。</w:t>
      </w:r>
    </w:p>
    <w:p w14:paraId="22373B36">
      <w:pPr>
        <w:pStyle w:val="7"/>
        <w:keepNext w:val="0"/>
        <w:keepLines w:val="0"/>
        <w:pageBreakBefore w:val="0"/>
        <w:widowControl w:val="0"/>
        <w:spacing w:line="360" w:lineRule="auto"/>
        <w:jc w:val="center"/>
        <w:rPr>
          <w:rFonts w:hint="eastAsia" w:ascii="Times New Roman" w:hAnsi="Times New Roman" w:eastAsia="黑体"/>
          <w:b/>
          <w:bCs w:val="0"/>
          <w:color w:val="000000"/>
          <w:sz w:val="44"/>
          <w:szCs w:val="28"/>
          <w:highlight w:val="none"/>
        </w:rPr>
      </w:pPr>
    </w:p>
    <w:p w14:paraId="628A9E65">
      <w:pPr>
        <w:pStyle w:val="7"/>
        <w:keepNext w:val="0"/>
        <w:keepLines w:val="0"/>
        <w:pageBreakBefore w:val="0"/>
        <w:widowControl w:val="0"/>
        <w:spacing w:line="360" w:lineRule="auto"/>
        <w:jc w:val="center"/>
        <w:rPr>
          <w:rFonts w:hint="eastAsia" w:ascii="Times New Roman" w:hAnsi="Times New Roman" w:eastAsia="黑体"/>
          <w:b/>
          <w:bCs w:val="0"/>
          <w:color w:val="000000"/>
          <w:sz w:val="44"/>
          <w:szCs w:val="28"/>
          <w:highlight w:val="none"/>
        </w:rPr>
      </w:pPr>
    </w:p>
    <w:p w14:paraId="3E80DE0B">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D62ECE"/>
    <w:multiLevelType w:val="multilevel"/>
    <w:tmpl w:val="03D62ECE"/>
    <w:lvl w:ilvl="0" w:tentative="0">
      <w:start w:val="1"/>
      <w:numFmt w:val="chineseCounting"/>
      <w:suff w:val="nothing"/>
      <w:lvlText w:val="（%1）"/>
      <w:lvlJc w:val="left"/>
      <w:pPr>
        <w:ind w:left="-270"/>
      </w:pPr>
      <w:rPr>
        <w:rFonts w:hint="eastAsia"/>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1">
    <w:nsid w:val="208A6482"/>
    <w:multiLevelType w:val="singleLevel"/>
    <w:tmpl w:val="208A6482"/>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7EB59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hint="default" w:ascii="Times New Roman" w:hAnsi="Times New Roman" w:eastAsia="宋体" w:cs="Times New Roman"/>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正文_19"/>
    <w:next w:val="5"/>
    <w:qFormat/>
    <w:uiPriority w:val="0"/>
    <w:pPr>
      <w:widowControl w:val="0"/>
      <w:jc w:val="both"/>
    </w:pPr>
    <w:rPr>
      <w:rFonts w:hint="default" w:ascii="Calibri" w:hAnsi="Calibri" w:eastAsia="宋体" w:cs="Times New Roman"/>
      <w:sz w:val="21"/>
      <w:szCs w:val="22"/>
      <w:lang w:val="en-US" w:eastAsia="zh-CN" w:bidi="ar-SA"/>
    </w:rPr>
  </w:style>
  <w:style w:type="paragraph" w:customStyle="1" w:styleId="5">
    <w:name w:val="首行缩进_0"/>
    <w:basedOn w:val="4"/>
    <w:qFormat/>
    <w:uiPriority w:val="0"/>
    <w:pPr>
      <w:spacing w:line="360" w:lineRule="auto"/>
      <w:ind w:firstLine="480"/>
    </w:pPr>
    <w:rPr>
      <w:sz w:val="24"/>
    </w:rPr>
  </w:style>
  <w:style w:type="paragraph" w:customStyle="1" w:styleId="6">
    <w:name w:val="正文_2"/>
    <w:qFormat/>
    <w:uiPriority w:val="0"/>
    <w:pPr>
      <w:widowControl w:val="0"/>
      <w:jc w:val="both"/>
    </w:pPr>
    <w:rPr>
      <w:rFonts w:hint="default" w:ascii="Calibri" w:hAnsi="Calibri" w:eastAsia="宋体" w:cs="Times New Roman"/>
      <w:sz w:val="21"/>
      <w:szCs w:val="22"/>
      <w:lang w:val="en-US" w:eastAsia="zh-CN" w:bidi="ar-SA"/>
    </w:rPr>
  </w:style>
  <w:style w:type="paragraph" w:customStyle="1" w:styleId="7">
    <w:name w:val="首行缩进"/>
    <w:basedOn w:val="8"/>
    <w:qFormat/>
    <w:uiPriority w:val="0"/>
    <w:pPr>
      <w:spacing w:line="360" w:lineRule="auto"/>
      <w:ind w:firstLine="480"/>
    </w:pPr>
    <w:rPr>
      <w:rFonts w:ascii="Calibri" w:hAnsi="Calibri"/>
      <w:sz w:val="24"/>
    </w:rPr>
  </w:style>
  <w:style w:type="paragraph" w:customStyle="1" w:styleId="8">
    <w:name w:val="正文_18"/>
    <w:next w:val="7"/>
    <w:qFormat/>
    <w:uiPriority w:val="0"/>
    <w:pPr>
      <w:widowControl w:val="0"/>
      <w:jc w:val="both"/>
    </w:pPr>
    <w:rPr>
      <w:rFonts w:hint="default" w:ascii="Calibri" w:hAnsi="Calibri"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2025-06-17T07:56:39Z</dcterms:created>
  <dc:creator>Administrator</dc:creator>
  <cp:lastModifiedBy>2020</cp:lastModifiedBy>
  <dcterms:modified xsi:type="dcterms:W3CDTF">2025-06-17T07:56:43Z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eyJoZGlkIjoiOTc2MjIwMDU5NjkzOWZkMzNiMWI5YmVhNzdlZTBkODUiLCJ1c2VySWQiOiIxMDg1MDc4NjgxIn0=</vt:lpwstr>
  </property>
  <property fmtid="{D5CDD505-2E9C-101B-9397-08002B2CF9AE}" pid="4" name="ICV">
    <vt:lpwstr>43DD3960B309442E85F1D97DC6A11DC9_12</vt:lpwstr>
  </property>
</Properties>
</file>